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7.png" ContentType="image/png"/>
  <Override PartName="/word/media/image8.png" ContentType="image/png"/>
  <Override PartName="/word/media/image9.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VorformatierterText"/>
        <w:suppressAutoHyphens w:val="false"/>
        <w:bidi w:val="0"/>
        <w:jc w:val="left"/>
        <w:rPr>
          <w:b/>
          <w:b/>
          <w:bCs/>
          <w:highlight w:val="none"/>
          <w:shd w:fill="auto" w:val="clear"/>
        </w:rPr>
      </w:pPr>
      <w:r>
        <w:rPr>
          <w:rFonts w:ascii="arial" w:hAnsi="arial"/>
          <w:b/>
          <w:bCs/>
          <w:shd w:fill="auto" w:val="clear"/>
        </w:rPr>
        <w:t xml:space="preserve">Regeln zu </w:t>
      </w:r>
      <w:r>
        <w:rPr>
          <w:rFonts w:ascii="arial" w:hAnsi="arial"/>
          <w:b/>
          <w:bCs/>
          <w:shd w:fill="auto" w:val="clear"/>
        </w:rPr>
        <w:t>A</w:t>
      </w:r>
      <w:r>
        <w:rPr>
          <w:rFonts w:ascii="arial" w:hAnsi="arial"/>
          <w:b/>
          <w:bCs/>
          <w:shd w:fill="auto" w:val="clear"/>
        </w:rPr>
        <w:t>nzeige von Liegenschaften in der dezentralen Erfassung</w:t>
      </w:r>
    </w:p>
    <w:p>
      <w:pPr>
        <w:pStyle w:val="VorformatierterText"/>
        <w:suppressAutoHyphens w:val="false"/>
        <w:bidi w:val="0"/>
        <w:jc w:val="left"/>
        <w:rPr>
          <w:rFonts w:ascii="arial" w:hAnsi="arial"/>
          <w:highlight w:val="none"/>
          <w:shd w:fill="auto" w:val="clear"/>
        </w:rPr>
      </w:pPr>
      <w:r>
        <w:rPr>
          <w:rFonts w:ascii="arial" w:hAnsi="arial"/>
          <w:shd w:fill="auto" w:val="clear"/>
        </w:rPr>
      </w:r>
    </w:p>
    <w:p>
      <w:pPr>
        <w:pStyle w:val="VorformatierterText"/>
        <w:suppressAutoHyphens w:val="false"/>
        <w:bidi w:val="0"/>
        <w:jc w:val="left"/>
        <w:rPr>
          <w:highlight w:val="none"/>
          <w:shd w:fill="auto" w:val="clear"/>
        </w:rPr>
      </w:pPr>
      <w:r>
        <w:rPr>
          <w:rFonts w:ascii="arial" w:hAnsi="arial"/>
          <w:shd w:fill="auto" w:val="clear"/>
        </w:rPr>
        <w:t xml:space="preserve">Stand </w:t>
      </w:r>
      <w:r>
        <w:rPr>
          <w:rFonts w:ascii="arial" w:hAnsi="arial"/>
          <w:shd w:fill="auto" w:val="clear"/>
        </w:rPr>
        <w:t>17</w:t>
      </w:r>
      <w:r>
        <w:rPr>
          <w:rFonts w:ascii="Arial" w:hAnsi="Arial"/>
          <w:shd w:fill="auto" w:val="clear"/>
        </w:rPr>
        <w:t>.1</w:t>
      </w:r>
      <w:r>
        <w:rPr>
          <w:rFonts w:ascii="Arial" w:hAnsi="Arial"/>
          <w:shd w:fill="auto" w:val="clear"/>
        </w:rPr>
        <w:t>2</w:t>
      </w:r>
      <w:r>
        <w:rPr>
          <w:rFonts w:ascii="Arial" w:hAnsi="Arial"/>
          <w:shd w:fill="auto" w:val="clear"/>
        </w:rPr>
        <w:t>.25</w:t>
      </w:r>
    </w:p>
    <w:p>
      <w:pPr>
        <w:pStyle w:val="VorformatierterText"/>
        <w:suppressAutoHyphens w:val="false"/>
        <w:bidi w:val="0"/>
        <w:jc w:val="left"/>
        <w:rPr>
          <w:rFonts w:ascii="arial" w:hAnsi="arial"/>
          <w:highlight w:val="none"/>
          <w:shd w:fill="auto" w:val="clear"/>
        </w:rPr>
      </w:pPr>
      <w:r>
        <w:rPr>
          <w:rFonts w:ascii="arial" w:hAnsi="arial"/>
          <w:shd w:fill="auto" w:val="clear"/>
        </w:rPr>
      </w:r>
    </w:p>
    <w:p>
      <w:pPr>
        <w:pStyle w:val="VorformatierterText"/>
        <w:suppressAutoHyphens w:val="false"/>
        <w:bidi w:val="0"/>
        <w:jc w:val="left"/>
        <w:rPr>
          <w:highlight w:val="none"/>
          <w:shd w:fill="auto" w:val="clear"/>
        </w:rPr>
      </w:pPr>
      <w:r>
        <w:rPr>
          <w:rFonts w:ascii="arial" w:hAnsi="arial"/>
          <w:shd w:fill="auto" w:val="clear"/>
        </w:rPr>
        <w:t>Vorbemerkung: mit „dezentraler Erfassung“ wird das Web-Portal zur Erfassung von Rechnungsdaten u.a. bezeichnet im Gegensatz zur „zentralen“ Erfassung in EMIS.</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In der dezentralen Erfassung können Daten zu Messstellen (Rechnungen) und Zählern (Zählerstände) erfasst werden. Die Messstellen und Zähler werden hierbei zusammengefasst nach Liegenschaft angezeigt.</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Die Anmeldung zur dezentralen Erfassung erfolgt mit einer Funktionskennung, die entweder einem Auftraggeber (AG) oder einem Rechnungsempfänger (RE) entspricht (bei Anmeldung mit einer „BÜ-Kennung“ muss im Anschluss der gewünschte AG oder RE gewählt werden).</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Zu einem AG werden die Daten (L</w:t>
      </w:r>
      <w:r>
        <w:rPr>
          <w:rFonts w:ascii="arial" w:hAnsi="arial"/>
          <w:shd w:fill="auto" w:val="clear"/>
        </w:rPr>
        <w:t>i</w:t>
      </w:r>
      <w:r>
        <w:rPr>
          <w:rFonts w:ascii="arial" w:hAnsi="arial"/>
          <w:shd w:fill="auto" w:val="clear"/>
        </w:rPr>
        <w:t>egenschaften) zu allen zugehörigen RE angezeigt.</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Zu einem RE werden folgende Liegenschaften angezeigt:</w:t>
      </w:r>
    </w:p>
    <w:p>
      <w:pPr>
        <w:pStyle w:val="VorformatierterText"/>
        <w:suppressAutoHyphens w:val="false"/>
        <w:bidi w:val="0"/>
        <w:jc w:val="left"/>
        <w:rPr>
          <w:rFonts w:ascii="arial" w:hAnsi="arial"/>
        </w:rPr>
      </w:pPr>
      <w:r>
        <w:rPr>
          <w:shd w:fill="auto" w:val="clear"/>
        </w:rPr>
      </w:r>
    </w:p>
    <w:p>
      <w:pPr>
        <w:pStyle w:val="VorformatierterText"/>
        <w:numPr>
          <w:ilvl w:val="0"/>
          <w:numId w:val="2"/>
        </w:numPr>
        <w:suppressAutoHyphens w:val="false"/>
        <w:bidi w:val="0"/>
        <w:jc w:val="left"/>
        <w:rPr>
          <w:highlight w:val="none"/>
          <w:shd w:fill="auto" w:val="clear"/>
        </w:rPr>
      </w:pPr>
      <w:r>
        <w:rPr>
          <w:rFonts w:ascii="arial" w:hAnsi="arial"/>
          <w:shd w:fill="auto" w:val="clear"/>
        </w:rPr>
        <w:t>Variante 1: RE =&gt; Abnahmestelle =&gt; EMIS-Liegenschaft</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ind w:left="1418" w:hanging="0"/>
        <w:jc w:val="left"/>
        <w:rPr>
          <w:highlight w:val="none"/>
          <w:shd w:fill="auto" w:val="clear"/>
        </w:rPr>
      </w:pPr>
      <w:r>
        <w:rPr>
          <w:rFonts w:ascii="arial" w:hAnsi="arial"/>
          <w:shd w:fill="auto" w:val="clear"/>
        </w:rPr>
        <w:t xml:space="preserve">dem RE sind Abnahmestellen zugeordnet, und diese Abnahmestellen wiederum sind einer EMIS-Liegenschaft </w:t>
      </w:r>
      <w:r>
        <w:rPr>
          <w:rFonts w:ascii="arial" w:hAnsi="arial"/>
          <w:u w:val="single"/>
          <w:shd w:fill="auto" w:val="clear"/>
        </w:rPr>
        <w:t>und</w:t>
      </w:r>
      <w:r>
        <w:rPr>
          <w:rFonts w:ascii="arial" w:hAnsi="arial"/>
          <w:shd w:fill="auto" w:val="clear"/>
        </w:rPr>
        <w:t xml:space="preserve"> einer EMIS-Messstelle zugeordnet , d.h. zum RE werden alle Liegenschaften angezeigt, die auf einer der zum RE gehörigen Abnahmestellen eingetragen sind</w:t>
      </w:r>
    </w:p>
    <w:p>
      <w:pPr>
        <w:pStyle w:val="VorformatierterText"/>
        <w:suppressAutoHyphens w:val="false"/>
        <w:bidi w:val="0"/>
        <w:ind w:left="1418" w:hanging="0"/>
        <w:jc w:val="left"/>
        <w:rPr>
          <w:highlight w:val="none"/>
          <w:shd w:fill="auto" w:val="clear"/>
        </w:rPr>
      </w:pPr>
      <w:r>
        <w:rPr>
          <w:rFonts w:ascii="arial" w:hAnsi="arial"/>
          <w:shd w:fill="auto" w:val="clear"/>
        </w:rPr>
        <w:t>beachten: auf der Abnahmestelle muss zusätzlich zur Liegenschaft auch eine Messstelle eingetragen sein, andernfalls wird die Liegenschafts-Angabe ignoriert (um Fehlerfälle bzw. abweichende Verwendungen der Liegenschafts-Nr. auszuschließen)</w:t>
      </w:r>
    </w:p>
    <w:p>
      <w:pPr>
        <w:pStyle w:val="VorformatierterText"/>
        <w:numPr>
          <w:ilvl w:val="0"/>
          <w:numId w:val="0"/>
        </w:numPr>
        <w:suppressAutoHyphens w:val="false"/>
        <w:bidi w:val="0"/>
        <w:ind w:left="720" w:hanging="0"/>
        <w:jc w:val="left"/>
        <w:rPr>
          <w:rFonts w:ascii="arial" w:hAnsi="arial"/>
        </w:rPr>
      </w:pPr>
      <w:r>
        <w:rPr>
          <w:shd w:fill="auto" w:val="clear"/>
        </w:rPr>
      </w:r>
    </w:p>
    <w:p>
      <w:pPr>
        <w:pStyle w:val="VorformatierterText"/>
        <w:numPr>
          <w:ilvl w:val="0"/>
          <w:numId w:val="2"/>
        </w:numPr>
        <w:suppressAutoHyphens w:val="false"/>
        <w:bidi w:val="0"/>
        <w:jc w:val="left"/>
        <w:rPr>
          <w:highlight w:val="none"/>
          <w:shd w:fill="auto" w:val="clear"/>
        </w:rPr>
      </w:pPr>
      <w:r>
        <w:rPr>
          <w:rFonts w:ascii="arial" w:hAnsi="arial"/>
          <w:shd w:fill="auto" w:val="clear"/>
        </w:rPr>
        <w:t>Variante 2: RE =&gt; EMIS-Hausverwaltung =&gt; Liegenschaft</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ind w:left="1418" w:hanging="0"/>
        <w:jc w:val="left"/>
        <w:rPr>
          <w:highlight w:val="none"/>
          <w:shd w:fill="auto" w:val="clear"/>
        </w:rPr>
      </w:pPr>
      <w:r>
        <w:rPr>
          <w:rFonts w:ascii="arial" w:hAnsi="arial"/>
          <w:shd w:fill="auto" w:val="clear"/>
        </w:rPr>
        <w:t>dem RE ist eine Dienststelle zugeordnet, die einer Hausverwaltung in EMIS entspricht,</w:t>
      </w:r>
    </w:p>
    <w:p>
      <w:pPr>
        <w:pStyle w:val="VorformatierterText"/>
        <w:suppressAutoHyphens w:val="false"/>
        <w:bidi w:val="0"/>
        <w:ind w:left="1418" w:hanging="0"/>
        <w:jc w:val="left"/>
        <w:rPr>
          <w:highlight w:val="none"/>
          <w:shd w:fill="auto" w:val="clear"/>
        </w:rPr>
      </w:pPr>
      <w:r>
        <w:rPr>
          <w:rFonts w:ascii="arial" w:hAnsi="arial"/>
          <w:shd w:fill="auto" w:val="clear"/>
        </w:rPr>
        <w:t>zum RE werden dann alle Liegenschaften zu dieser Hausverwaltung angezeigt</w:t>
      </w:r>
    </w:p>
    <w:p>
      <w:pPr>
        <w:pStyle w:val="VorformatierterText"/>
        <w:suppressAutoHyphens w:val="false"/>
        <w:bidi w:val="0"/>
        <w:ind w:left="1418" w:hanging="0"/>
        <w:jc w:val="left"/>
        <w:rPr>
          <w:rFonts w:ascii="arial" w:hAnsi="arial"/>
        </w:rPr>
      </w:pPr>
      <w:r>
        <w:rPr>
          <w:shd w:fill="auto" w:val="clear"/>
        </w:rPr>
      </w:r>
    </w:p>
    <w:p>
      <w:pPr>
        <w:pStyle w:val="VorformatierterText"/>
        <w:numPr>
          <w:ilvl w:val="0"/>
          <w:numId w:val="2"/>
        </w:numPr>
        <w:suppressAutoHyphens w:val="false"/>
        <w:bidi w:val="0"/>
        <w:jc w:val="left"/>
        <w:rPr>
          <w:highlight w:val="none"/>
          <w:shd w:fill="auto" w:val="clear"/>
        </w:rPr>
      </w:pPr>
      <w:r>
        <w:rPr>
          <w:rFonts w:ascii="arial" w:hAnsi="arial"/>
          <w:shd w:fill="auto" w:val="clear"/>
        </w:rPr>
        <w:t>Variante 3: fiktive Liegenschaften zu Zählern ohne EMIS-Liegenschaft</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ind w:left="1418" w:hanging="0"/>
        <w:jc w:val="left"/>
        <w:rPr>
          <w:highlight w:val="none"/>
          <w:shd w:fill="auto" w:val="clear"/>
        </w:rPr>
      </w:pPr>
      <w:r>
        <w:rPr>
          <w:rFonts w:ascii="arial" w:hAnsi="arial"/>
          <w:shd w:fill="auto" w:val="clear"/>
        </w:rPr>
        <w:t>zu Abnahmestellen, die keiner EMIS-Liegenschaft zugeordnet sind, zu denen jedoch Zählerstände erfasst werden sollen, wird eine „fiktive“ Liegenschaft erzeugt, die Liegenschafts-Nr. setzt sich dann zusammen aus der Anmeldung (AG… bzw. RE…) und der NLBL-Nr. der Abnahmestelle</w:t>
      </w:r>
    </w:p>
    <w:p>
      <w:pPr>
        <w:pStyle w:val="VorformatierterText"/>
        <w:suppressAutoHyphens w:val="false"/>
        <w:bidi w:val="0"/>
        <w:ind w:left="1418" w:hanging="0"/>
        <w:jc w:val="left"/>
        <w:rPr>
          <w:rFonts w:ascii="arial" w:hAnsi="arial"/>
        </w:rPr>
      </w:pPr>
      <w:r>
        <w:rPr>
          <w:shd w:fill="auto" w:val="clear"/>
        </w:rPr>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rFonts w:ascii="arial" w:hAnsi="arial"/>
          <w:highlight w:val="none"/>
          <w:shd w:fill="auto" w:val="clear"/>
        </w:rPr>
      </w:pPr>
      <w:r>
        <w:rPr>
          <w:rFonts w:ascii="arial" w:hAnsi="arial"/>
          <w:shd w:fill="auto" w:val="clear"/>
        </w:rPr>
      </w:r>
    </w:p>
    <w:p>
      <w:pPr>
        <w:pStyle w:val="VorformatierterText"/>
        <w:suppressAutoHyphens w:val="false"/>
        <w:bidi w:val="0"/>
        <w:jc w:val="left"/>
        <w:rPr>
          <w:rFonts w:ascii="arial" w:hAnsi="arial"/>
          <w:highlight w:val="none"/>
          <w:shd w:fill="auto" w:val="clear"/>
        </w:rPr>
      </w:pPr>
      <w:r>
        <w:rPr>
          <w:rFonts w:ascii="arial" w:hAnsi="arial"/>
          <w:shd w:fill="auto" w:val="clear"/>
        </w:rPr>
        <w:t>Beachten:</w:t>
      </w:r>
    </w:p>
    <w:p>
      <w:pPr>
        <w:pStyle w:val="VorformatierterText"/>
        <w:numPr>
          <w:ilvl w:val="0"/>
          <w:numId w:val="3"/>
        </w:numPr>
        <w:suppressAutoHyphens w:val="false"/>
        <w:bidi w:val="0"/>
        <w:jc w:val="left"/>
        <w:rPr>
          <w:rFonts w:ascii="arial" w:hAnsi="arial"/>
          <w:highlight w:val="none"/>
          <w:shd w:fill="auto" w:val="clear"/>
        </w:rPr>
      </w:pPr>
      <w:r>
        <w:rPr>
          <w:rFonts w:ascii="arial" w:hAnsi="arial"/>
          <w:shd w:fill="auto" w:val="clear"/>
        </w:rPr>
        <w:t>zu einem RE werden alle Liegenschaften lt. den o.a. Varianten angezeigt</w:t>
      </w:r>
    </w:p>
    <w:p>
      <w:pPr>
        <w:pStyle w:val="VorformatierterText"/>
        <w:numPr>
          <w:ilvl w:val="0"/>
          <w:numId w:val="0"/>
        </w:numPr>
        <w:suppressAutoHyphens w:val="false"/>
        <w:bidi w:val="0"/>
        <w:ind w:left="720" w:hanging="0"/>
        <w:jc w:val="left"/>
        <w:rPr>
          <w:rFonts w:ascii="arial" w:hAnsi="arial"/>
          <w:highlight w:val="none"/>
          <w:shd w:fill="auto" w:val="clear"/>
        </w:rPr>
      </w:pPr>
      <w:r>
        <w:rPr>
          <w:rFonts w:ascii="arial" w:hAnsi="arial"/>
          <w:shd w:fill="auto" w:val="clear"/>
        </w:rPr>
      </w:r>
    </w:p>
    <w:p>
      <w:pPr>
        <w:pStyle w:val="VorformatierterText"/>
        <w:numPr>
          <w:ilvl w:val="0"/>
          <w:numId w:val="3"/>
        </w:numPr>
        <w:suppressAutoHyphens w:val="false"/>
        <w:bidi w:val="0"/>
        <w:jc w:val="left"/>
        <w:rPr>
          <w:rFonts w:ascii="arial" w:hAnsi="arial"/>
          <w:highlight w:val="none"/>
          <w:shd w:fill="auto" w:val="clear"/>
        </w:rPr>
      </w:pPr>
      <w:r>
        <w:rPr>
          <w:rFonts w:ascii="arial" w:hAnsi="arial"/>
          <w:shd w:fill="auto" w:val="clear"/>
        </w:rPr>
        <w:t>für die Auswahl/Anzeige der Liegenschaften aus EMIS gelten noch weitere Filterregeln, z.B. „kein Archiv“ o.ä., diese sind jedoch z.T. abhängig von der gewünschten Erfassung (Rechnungen, Zählerstände)</w:t>
      </w:r>
    </w:p>
    <w:p>
      <w:pPr>
        <w:pStyle w:val="VorformatierterText"/>
        <w:numPr>
          <w:ilvl w:val="0"/>
          <w:numId w:val="0"/>
        </w:numPr>
        <w:suppressAutoHyphens w:val="false"/>
        <w:bidi w:val="0"/>
        <w:ind w:left="720" w:hanging="0"/>
        <w:jc w:val="left"/>
        <w:rPr>
          <w:rFonts w:ascii="arial" w:hAnsi="arial"/>
          <w:highlight w:val="none"/>
          <w:shd w:fill="auto" w:val="clear"/>
        </w:rPr>
      </w:pPr>
      <w:r>
        <w:rPr>
          <w:rFonts w:ascii="arial" w:hAnsi="arial"/>
          <w:shd w:fill="auto" w:val="clear"/>
        </w:rPr>
      </w:r>
    </w:p>
    <w:p>
      <w:pPr>
        <w:pStyle w:val="VorformatierterText"/>
        <w:numPr>
          <w:ilvl w:val="0"/>
          <w:numId w:val="3"/>
        </w:numPr>
        <w:suppressAutoHyphens w:val="false"/>
        <w:bidi w:val="0"/>
        <w:jc w:val="left"/>
        <w:rPr>
          <w:rFonts w:ascii="arial" w:hAnsi="arial"/>
          <w:highlight w:val="none"/>
          <w:shd w:fill="auto" w:val="clear"/>
        </w:rPr>
      </w:pPr>
      <w:r>
        <w:rPr>
          <w:rFonts w:ascii="arial" w:hAnsi="arial"/>
          <w:shd w:fill="auto" w:val="clear"/>
        </w:rPr>
        <w:t>zu einer Liegenschaft werden alle Messstellen angezeigt, soweit diese zur Erfassung freigegeben sind</w:t>
      </w:r>
    </w:p>
    <w:p>
      <w:pPr>
        <w:pStyle w:val="VorformatierterText"/>
        <w:numPr>
          <w:ilvl w:val="0"/>
          <w:numId w:val="0"/>
        </w:numPr>
        <w:suppressAutoHyphens w:val="false"/>
        <w:bidi w:val="0"/>
        <w:ind w:left="720" w:hanging="0"/>
        <w:jc w:val="left"/>
        <w:rPr>
          <w:rFonts w:ascii="arial" w:hAnsi="arial"/>
          <w:highlight w:val="none"/>
          <w:shd w:fill="auto" w:val="clear"/>
        </w:rPr>
      </w:pPr>
      <w:r>
        <w:rPr>
          <w:rFonts w:ascii="arial" w:hAnsi="arial"/>
          <w:shd w:fill="auto" w:val="clear"/>
        </w:rPr>
      </w:r>
    </w:p>
    <w:p>
      <w:pPr>
        <w:pStyle w:val="VorformatierterText"/>
        <w:numPr>
          <w:ilvl w:val="0"/>
          <w:numId w:val="3"/>
        </w:numPr>
        <w:suppressAutoHyphens w:val="false"/>
        <w:bidi w:val="0"/>
        <w:spacing w:before="0" w:after="113"/>
        <w:jc w:val="left"/>
        <w:rPr>
          <w:rFonts w:ascii="arial" w:hAnsi="arial"/>
          <w:highlight w:val="none"/>
          <w:shd w:fill="auto" w:val="clear"/>
        </w:rPr>
      </w:pPr>
      <w:r>
        <w:rPr>
          <w:rFonts w:eastAsia="Noto Sans Mono CJK SC" w:cs="Liberation Mono" w:ascii="Arial" w:hAnsi="Arial"/>
          <w:color w:val="000000"/>
          <w:kern w:val="0"/>
          <w:sz w:val="20"/>
          <w:szCs w:val="20"/>
          <w:shd w:fill="auto" w:val="clear"/>
          <w:lang w:val="de-DE" w:eastAsia="zh-CN" w:bidi="hi-IN"/>
        </w:rPr>
        <w:t>die Daten zu Liegenschaften, Messstellen und Abnahmestellen werden per „materialized view“ bereitgestellt, der alle 15min erneuert wird. Änderungen an diesen Daten werden daher erst mit einer Verzögerung von bis zu 15 Minuten in der dezentralen Erfassung sichtbar bzw. wirksam.</w:t>
      </w:r>
    </w:p>
    <w:p>
      <w:pPr>
        <w:pStyle w:val="VorformatierterText"/>
        <w:suppressAutoHyphens w:val="false"/>
        <w:bidi w:val="0"/>
        <w:jc w:val="left"/>
        <w:rPr>
          <w:rFonts w:ascii="arial" w:hAnsi="arial"/>
          <w:highlight w:val="none"/>
          <w:shd w:fill="auto" w:val="clear"/>
        </w:rPr>
      </w:pPr>
      <w:r>
        <w:rPr>
          <w:rFonts w:ascii="arial" w:hAnsi="arial"/>
          <w:shd w:fill="auto" w:val="clear"/>
        </w:rPr>
      </w:r>
    </w:p>
    <w:p>
      <w:pPr>
        <w:pStyle w:val="VorformatierterText"/>
        <w:suppressAutoHyphens w:val="false"/>
        <w:bidi w:val="0"/>
        <w:jc w:val="left"/>
        <w:rPr>
          <w:rFonts w:ascii="arial" w:hAnsi="arial"/>
          <w:highlight w:val="none"/>
          <w:shd w:fill="auto" w:val="clear"/>
        </w:rPr>
      </w:pPr>
      <w:r>
        <w:rPr>
          <w:rFonts w:ascii="arial" w:hAnsi="arial"/>
          <w:shd w:fill="auto" w:val="clear"/>
        </w:rPr>
      </w:r>
      <w:r>
        <w:br w:type="page"/>
      </w:r>
    </w:p>
    <w:p>
      <w:pPr>
        <w:pStyle w:val="VorformatierterText"/>
        <w:suppressAutoHyphens w:val="false"/>
        <w:bidi w:val="0"/>
        <w:jc w:val="left"/>
        <w:rPr>
          <w:rFonts w:ascii="arial" w:hAnsi="arial"/>
          <w:highlight w:val="none"/>
          <w:u w:val="single"/>
          <w:shd w:fill="auto" w:val="clear"/>
        </w:rPr>
      </w:pPr>
      <w:r>
        <w:rPr>
          <w:rFonts w:ascii="arial" w:hAnsi="arial"/>
          <w:u w:val="single"/>
          <w:shd w:fill="auto" w:val="clear"/>
        </w:rPr>
        <w:t>Beispiele</w:t>
      </w:r>
    </w:p>
    <w:p>
      <w:pPr>
        <w:pStyle w:val="VorformatierterText"/>
        <w:suppressAutoHyphens w:val="false"/>
        <w:bidi w:val="0"/>
        <w:jc w:val="left"/>
        <w:rPr>
          <w:rFonts w:ascii="arial" w:hAnsi="arial"/>
          <w:highlight w:val="none"/>
          <w:shd w:fill="auto" w:val="clear"/>
        </w:rPr>
      </w:pPr>
      <w:r>
        <w:rPr>
          <w:rFonts w:ascii="arial" w:hAnsi="arial"/>
          <w:shd w:fill="auto" w:val="clear"/>
        </w:rPr>
      </w:r>
    </w:p>
    <w:p>
      <w:pPr>
        <w:pStyle w:val="VorformatierterText"/>
        <w:suppressAutoHyphens w:val="false"/>
        <w:bidi w:val="0"/>
        <w:jc w:val="left"/>
        <w:rPr>
          <w:highlight w:val="none"/>
          <w:shd w:fill="auto" w:val="clear"/>
        </w:rPr>
      </w:pPr>
      <w:r>
        <w:rPr>
          <w:rFonts w:ascii="arial" w:hAnsi="arial"/>
          <w:shd w:fill="auto" w:val="clear"/>
        </w:rPr>
        <w:t>Variante 1</w:t>
      </w:r>
    </w:p>
    <w:p>
      <w:pPr>
        <w:pStyle w:val="VorformatierterText"/>
        <w:suppressAutoHyphens w:val="false"/>
        <w:bidi w:val="0"/>
        <w:jc w:val="left"/>
        <w:rPr>
          <w:rFonts w:ascii="arial" w:hAnsi="arial"/>
        </w:rPr>
      </w:pPr>
      <w:r>
        <w:rPr>
          <w:shd w:fill="auto" w:val="clear"/>
        </w:rPr>
        <w:drawing>
          <wp:anchor behindDoc="0" distT="0" distB="0" distL="0" distR="0" simplePos="0" locked="0" layoutInCell="0" allowOverlap="1" relativeHeight="2">
            <wp:simplePos x="0" y="0"/>
            <wp:positionH relativeFrom="column">
              <wp:posOffset>0</wp:posOffset>
            </wp:positionH>
            <wp:positionV relativeFrom="paragraph">
              <wp:posOffset>112395</wp:posOffset>
            </wp:positionV>
            <wp:extent cx="6120130" cy="1851660"/>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6120130" cy="1851660"/>
                    </a:xfrm>
                    <a:prstGeom prst="rect">
                      <a:avLst/>
                    </a:prstGeom>
                  </pic:spPr>
                </pic:pic>
              </a:graphicData>
            </a:graphic>
          </wp:anchor>
        </w:drawing>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In der Energieanwendung ist bei Abnahmestelle SN0550 die Liegenschaft 10448 hinterlegt, sowie eine Messstelle. RE ist 0801, AG ist 8080.</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Daher wird bei einer Anmeldung mit RE0801 oder AG8080 die Liegenschaft 10448 angezeigt, mit allen zur Erfassung freigegebenen Messstellen:</w:t>
      </w:r>
    </w:p>
    <w:p>
      <w:pPr>
        <w:pStyle w:val="VorformatierterText"/>
        <w:suppressAutoHyphens w:val="false"/>
        <w:bidi w:val="0"/>
        <w:jc w:val="left"/>
        <w:rPr>
          <w:rFonts w:ascii="arial" w:hAnsi="arial"/>
        </w:rPr>
      </w:pPr>
      <w:r>
        <w:rPr>
          <w:shd w:fill="auto" w:val="clear"/>
        </w:rPr>
        <w:drawing>
          <wp:anchor behindDoc="0" distT="0" distB="0" distL="0" distR="0" simplePos="0" locked="0" layoutInCell="0" allowOverlap="1" relativeHeight="3">
            <wp:simplePos x="0" y="0"/>
            <wp:positionH relativeFrom="column">
              <wp:posOffset>0</wp:posOffset>
            </wp:positionH>
            <wp:positionV relativeFrom="paragraph">
              <wp:posOffset>127000</wp:posOffset>
            </wp:positionV>
            <wp:extent cx="6120130" cy="42779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6120130" cy="4277995"/>
                    </a:xfrm>
                    <a:prstGeom prst="rect">
                      <a:avLst/>
                    </a:prstGeom>
                  </pic:spPr>
                </pic:pic>
              </a:graphicData>
            </a:graphic>
          </wp:anchor>
        </w:drawing>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Beachten: für die Anzeige in der dezentralen Erfassung ist ausreichend, wenn die Liegenschaft bei mindestens einer Abnahmestelle zum RE hinterlegt ist – dies ist unabhängig vom Energieträger, d.h. die Liegenschaft kann ggf. auch bei einer Abnahmestelle zu einem „anderen“ Energieträger eingetragen sein.</w:t>
      </w:r>
      <w:r>
        <w:br w:type="page"/>
      </w:r>
    </w:p>
    <w:p>
      <w:pPr>
        <w:pStyle w:val="VorformatierterText"/>
        <w:suppressAutoHyphens w:val="false"/>
        <w:bidi w:val="0"/>
        <w:jc w:val="left"/>
        <w:rPr>
          <w:highlight w:val="none"/>
          <w:shd w:fill="auto" w:val="clear"/>
        </w:rPr>
      </w:pPr>
      <w:r>
        <w:rPr>
          <w:rFonts w:ascii="arial" w:hAnsi="arial"/>
          <w:shd w:fill="auto" w:val="clear"/>
        </w:rPr>
        <w:t xml:space="preserve">Variante </w:t>
      </w:r>
      <w:r>
        <w:rPr>
          <w:rFonts w:ascii="arial" w:hAnsi="arial"/>
          <w:shd w:fill="auto" w:val="clear"/>
        </w:rPr>
        <w:t xml:space="preserve">2 / Beispiel </w:t>
      </w:r>
      <w:r>
        <w:rPr>
          <w:rFonts w:ascii="arial" w:hAnsi="arial"/>
          <w:shd w:fill="auto" w:val="clear"/>
        </w:rPr>
        <w:t>A</w:t>
      </w:r>
    </w:p>
    <w:p>
      <w:pPr>
        <w:pStyle w:val="VorformatierterText"/>
        <w:suppressAutoHyphens w:val="false"/>
        <w:bidi w:val="0"/>
        <w:jc w:val="left"/>
        <w:rPr>
          <w:highlight w:val="none"/>
          <w:shd w:fill="auto" w:val="clear"/>
        </w:rPr>
      </w:pPr>
      <w: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130" cy="4025900"/>
            <wp:effectExtent l="0" t="0" r="0" b="0"/>
            <wp:wrapTopAndBottom/>
            <wp:docPr id="3"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8" descr=""/>
                    <pic:cNvPicPr>
                      <a:picLocks noChangeAspect="1" noChangeArrowheads="1"/>
                    </pic:cNvPicPr>
                  </pic:nvPicPr>
                  <pic:blipFill>
                    <a:blip r:embed="rId4"/>
                    <a:stretch>
                      <a:fillRect/>
                    </a:stretch>
                  </pic:blipFill>
                  <pic:spPr bwMode="auto">
                    <a:xfrm>
                      <a:off x="0" y="0"/>
                      <a:ext cx="6120130" cy="4025900"/>
                    </a:xfrm>
                    <a:prstGeom prst="rect">
                      <a:avLst/>
                    </a:prstGeom>
                  </pic:spPr>
                </pic:pic>
              </a:graphicData>
            </a:graphic>
          </wp:anchor>
        </w:drawing>
      </w:r>
      <w:r>
        <w:rPr>
          <w:rFonts w:ascii="arial" w:hAnsi="arial"/>
          <w:shd w:fill="auto" w:val="clear"/>
        </w:rPr>
        <w:t xml:space="preserve">In der Energieanwendung ist dem RE </w:t>
      </w:r>
      <w:r>
        <w:rPr>
          <w:rFonts w:ascii="arial" w:hAnsi="arial"/>
          <w:shd w:fill="auto" w:val="clear"/>
        </w:rPr>
        <w:t>8083</w:t>
      </w:r>
      <w:r>
        <w:rPr>
          <w:rFonts w:ascii="arial" w:hAnsi="arial"/>
          <w:shd w:fill="auto" w:val="clear"/>
        </w:rPr>
        <w:t xml:space="preserve"> die EMIS-Dienststelle </w:t>
      </w:r>
      <w:r>
        <w:rPr>
          <w:rFonts w:ascii="arial" w:hAnsi="arial"/>
          <w:shd w:fill="auto" w:val="clear"/>
        </w:rPr>
        <w:t>8083</w:t>
      </w:r>
      <w:r>
        <w:rPr>
          <w:rFonts w:ascii="arial" w:hAnsi="arial"/>
          <w:shd w:fill="auto" w:val="clear"/>
        </w:rPr>
        <w:t xml:space="preserve"> zugeordnet </w:t>
      </w:r>
      <w:r>
        <w:rPr>
          <w:rFonts w:ascii="arial" w:hAnsi="arial"/>
          <w:shd w:fill="auto" w:val="clear"/>
        </w:rPr>
        <w:t>(die RE-Nr und die Dienststellen-Kennung in EMIS sind oft identisch, aber nicht immer ..).</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 xml:space="preserve">Daher </w:t>
      </w:r>
      <w:r>
        <w:rPr>
          <w:rFonts w:ascii="arial" w:hAnsi="arial"/>
          <w:shd w:fill="auto" w:val="clear"/>
        </w:rPr>
        <w:t>werden</w:t>
      </w:r>
      <w:r>
        <w:rPr>
          <w:rFonts w:ascii="arial" w:hAnsi="arial"/>
          <w:shd w:fill="auto" w:val="clear"/>
        </w:rPr>
        <w:t xml:space="preserve"> bei einer Anmeldung mit RE</w:t>
      </w:r>
      <w:r>
        <w:rPr>
          <w:rFonts w:ascii="arial" w:hAnsi="arial"/>
          <w:shd w:fill="auto" w:val="clear"/>
        </w:rPr>
        <w:t>8083</w:t>
      </w:r>
      <w:r>
        <w:rPr>
          <w:rFonts w:ascii="arial" w:hAnsi="arial"/>
          <w:shd w:fill="auto" w:val="clear"/>
        </w:rPr>
        <w:t xml:space="preserve"> alle Liegenschaften angezeigt, bei denen im EMIS </w:t>
      </w:r>
      <w:r>
        <w:rPr>
          <w:rFonts w:ascii="arial" w:hAnsi="arial"/>
          <w:shd w:fill="auto" w:val="clear"/>
        </w:rPr>
        <w:t>8083</w:t>
      </w:r>
      <w:r>
        <w:rPr>
          <w:rFonts w:ascii="arial" w:hAnsi="arial"/>
          <w:shd w:fill="auto" w:val="clear"/>
        </w:rPr>
        <w:t xml:space="preserve"> als Hausverwaltung zugeordnet ist – hier </w:t>
      </w:r>
      <w:r>
        <w:rPr>
          <w:rFonts w:ascii="arial" w:hAnsi="arial"/>
          <w:shd w:fill="auto" w:val="clear"/>
        </w:rPr>
        <w:t xml:space="preserve">drei Liegenschaften, obwohl dem RE nur die Abnahmestelle SN8149 zugeordnet ist (und somit über Variante </w:t>
      </w:r>
      <w:r>
        <w:rPr>
          <w:rFonts w:ascii="arial" w:hAnsi="arial"/>
          <w:shd w:fill="auto" w:val="clear"/>
        </w:rPr>
        <w:t>(1</w:t>
      </w:r>
      <w:r>
        <w:rPr>
          <w:rFonts w:ascii="arial" w:hAnsi="arial"/>
          <w:shd w:fill="auto" w:val="clear"/>
        </w:rPr>
        <w:t>) nur maximal eine Liegenschaft):</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rFonts w:ascii="arial" w:hAnsi="arial"/>
        </w:rPr>
      </w:pPr>
      <w:r>
        <w:rPr>
          <w:shd w:fill="auto" w:val="clea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20130" cy="3726815"/>
            <wp:effectExtent l="0" t="0" r="0" b="0"/>
            <wp:wrapSquare wrapText="largest"/>
            <wp:docPr id="4"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6" descr=""/>
                    <pic:cNvPicPr>
                      <a:picLocks noChangeAspect="1" noChangeArrowheads="1"/>
                    </pic:cNvPicPr>
                  </pic:nvPicPr>
                  <pic:blipFill>
                    <a:blip r:embed="rId5"/>
                    <a:stretch>
                      <a:fillRect/>
                    </a:stretch>
                  </pic:blipFill>
                  <pic:spPr bwMode="auto">
                    <a:xfrm>
                      <a:off x="0" y="0"/>
                      <a:ext cx="6120130" cy="3726815"/>
                    </a:xfrm>
                    <a:prstGeom prst="rect">
                      <a:avLst/>
                    </a:prstGeom>
                  </pic:spPr>
                </pic:pic>
              </a:graphicData>
            </a:graphic>
          </wp:anchor>
        </w:drawing>
      </w:r>
      <w:r>
        <w:br w:type="page"/>
      </w:r>
    </w:p>
    <w:p>
      <w:pPr>
        <w:pStyle w:val="VorformatierterText"/>
        <w:suppressAutoHyphens w:val="false"/>
        <w:bidi w:val="0"/>
        <w:jc w:val="left"/>
        <w:rPr>
          <w:highlight w:val="none"/>
          <w:shd w:fill="auto" w:val="clear"/>
        </w:rPr>
      </w:pPr>
      <w:r>
        <w:rPr>
          <w:rFonts w:ascii="arial" w:hAnsi="arial"/>
          <w:shd w:fill="auto" w:val="clear"/>
        </w:rPr>
        <w:t xml:space="preserve">Variante </w:t>
      </w:r>
      <w:r>
        <w:rPr>
          <w:rFonts w:ascii="arial" w:hAnsi="arial"/>
          <w:shd w:fill="auto" w:val="clear"/>
        </w:rPr>
        <w:t xml:space="preserve">2 / Beispiel </w:t>
      </w:r>
      <w:r>
        <w:rPr>
          <w:rFonts w:ascii="arial" w:hAnsi="arial"/>
          <w:shd w:fill="auto" w:val="clear"/>
        </w:rPr>
        <w:t>B</w:t>
      </w:r>
    </w:p>
    <w:p>
      <w:pPr>
        <w:pStyle w:val="VorformatierterText"/>
        <w:suppressAutoHyphens w:val="false"/>
        <w:bidi w:val="0"/>
        <w:jc w:val="left"/>
        <w:rPr>
          <w:highlight w:val="none"/>
          <w:shd w:fill="auto" w:val="clear"/>
        </w:rPr>
      </w:pPr>
      <w:r>
        <w:drawing>
          <wp:anchor behindDoc="0" distT="0" distB="0" distL="0" distR="0" simplePos="0" locked="0" layoutInCell="0" allowOverlap="1" relativeHeight="7">
            <wp:simplePos x="0" y="0"/>
            <wp:positionH relativeFrom="column">
              <wp:posOffset>0</wp:posOffset>
            </wp:positionH>
            <wp:positionV relativeFrom="paragraph">
              <wp:posOffset>76835</wp:posOffset>
            </wp:positionV>
            <wp:extent cx="6120130" cy="1772285"/>
            <wp:effectExtent l="0" t="0" r="0" b="0"/>
            <wp:wrapTopAndBottom/>
            <wp:docPr id="5"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9" descr=""/>
                    <pic:cNvPicPr>
                      <a:picLocks noChangeAspect="1" noChangeArrowheads="1"/>
                    </pic:cNvPicPr>
                  </pic:nvPicPr>
                  <pic:blipFill>
                    <a:blip r:embed="rId6"/>
                    <a:stretch>
                      <a:fillRect/>
                    </a:stretch>
                  </pic:blipFill>
                  <pic:spPr bwMode="auto">
                    <a:xfrm>
                      <a:off x="0" y="0"/>
                      <a:ext cx="6120130" cy="1772285"/>
                    </a:xfrm>
                    <a:prstGeom prst="rect">
                      <a:avLst/>
                    </a:prstGeom>
                  </pic:spPr>
                </pic:pic>
              </a:graphicData>
            </a:graphic>
          </wp:anchor>
        </w:drawing>
      </w:r>
      <w:r>
        <w:rPr>
          <w:rFonts w:ascii="arial" w:hAnsi="arial"/>
          <w:shd w:fill="auto" w:val="clear"/>
        </w:rPr>
        <w:t xml:space="preserve">In der Energieanwendung ist dem RE </w:t>
      </w:r>
      <w:r>
        <w:rPr>
          <w:rFonts w:ascii="arial" w:hAnsi="arial"/>
          <w:shd w:fill="auto" w:val="clear"/>
        </w:rPr>
        <w:t>8688</w:t>
      </w:r>
      <w:r>
        <w:rPr>
          <w:rFonts w:ascii="arial" w:hAnsi="arial"/>
          <w:shd w:fill="auto" w:val="clear"/>
        </w:rPr>
        <w:t xml:space="preserve"> die EMIS-Dienststelle </w:t>
      </w:r>
      <w:r>
        <w:rPr>
          <w:rFonts w:ascii="arial" w:hAnsi="arial"/>
          <w:shd w:fill="auto" w:val="clear"/>
        </w:rPr>
        <w:t>1320</w:t>
      </w:r>
      <w:r>
        <w:rPr>
          <w:rFonts w:ascii="arial" w:hAnsi="arial"/>
          <w:shd w:fill="auto" w:val="clear"/>
        </w:rPr>
        <w:t xml:space="preserve"> zugeordnet </w:t>
      </w:r>
      <w:r>
        <w:rPr>
          <w:rFonts w:ascii="arial" w:hAnsi="arial"/>
          <w:shd w:fill="auto" w:val="clear"/>
        </w:rPr>
        <w:t>(die RE-Nr und die Dienststellen-Kennung in EMIS sind oft identisch, aber nicht immer ..).</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 xml:space="preserve">Die Dienststelle 1320 ist in EMIS aber </w:t>
      </w:r>
      <w:r>
        <w:rPr>
          <w:rFonts w:ascii="arial" w:hAnsi="arial"/>
          <w:u w:val="single"/>
          <w:shd w:fill="auto" w:val="clear"/>
        </w:rPr>
        <w:t>keiner</w:t>
      </w:r>
      <w:r>
        <w:rPr>
          <w:rFonts w:ascii="arial" w:hAnsi="arial"/>
          <w:shd w:fill="auto" w:val="clear"/>
        </w:rPr>
        <w:t xml:space="preserve"> Liegenschaft als Hausverwaltung zugeordnet.</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 xml:space="preserve">Daher </w:t>
      </w:r>
      <w:r>
        <w:rPr>
          <w:rFonts w:ascii="arial" w:hAnsi="arial"/>
          <w:shd w:fill="auto" w:val="clear"/>
        </w:rPr>
        <w:t>werden</w:t>
      </w:r>
      <w:r>
        <w:rPr>
          <w:rFonts w:ascii="arial" w:hAnsi="arial"/>
          <w:shd w:fill="auto" w:val="clear"/>
        </w:rPr>
        <w:t xml:space="preserve"> bei einer Anmeldung mit </w:t>
      </w:r>
      <w:r>
        <w:rPr>
          <w:rFonts w:ascii="arial" w:hAnsi="arial"/>
          <w:shd w:fill="auto" w:val="clear"/>
        </w:rPr>
        <w:t>RE8688</w:t>
      </w:r>
      <w:r>
        <w:rPr>
          <w:rFonts w:ascii="arial" w:hAnsi="arial"/>
          <w:shd w:fill="auto" w:val="clear"/>
        </w:rPr>
        <w:t xml:space="preserve"> </w:t>
      </w:r>
      <w:r>
        <w:rPr>
          <w:rFonts w:ascii="arial" w:hAnsi="arial"/>
          <w:shd w:fill="auto" w:val="clear"/>
        </w:rPr>
        <w:t>nur die Liegenschaften gemäß Variante 1 angezeigt.</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rFonts w:ascii="arial" w:hAnsi="arial"/>
        </w:rPr>
      </w:pPr>
      <w:r>
        <w:rPr>
          <w:shd w:fill="auto" w:val="clea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20130" cy="2574925"/>
            <wp:effectExtent l="0" t="0" r="0" b="0"/>
            <wp:wrapTopAndBottom/>
            <wp:docPr id="6"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5" descr=""/>
                    <pic:cNvPicPr>
                      <a:picLocks noChangeAspect="1" noChangeArrowheads="1"/>
                    </pic:cNvPicPr>
                  </pic:nvPicPr>
                  <pic:blipFill>
                    <a:blip r:embed="rId7"/>
                    <a:stretch>
                      <a:fillRect/>
                    </a:stretch>
                  </pic:blipFill>
                  <pic:spPr bwMode="auto">
                    <a:xfrm>
                      <a:off x="0" y="0"/>
                      <a:ext cx="6120130" cy="2574925"/>
                    </a:xfrm>
                    <a:prstGeom prst="rect">
                      <a:avLst/>
                    </a:prstGeom>
                  </pic:spPr>
                </pic:pic>
              </a:graphicData>
            </a:graphic>
          </wp:anchor>
        </w:drawing>
      </w:r>
    </w:p>
    <w:p>
      <w:pPr>
        <w:pStyle w:val="VorformatierterText"/>
        <w:suppressAutoHyphens w:val="false"/>
        <w:bidi w:val="0"/>
        <w:jc w:val="left"/>
        <w:rPr>
          <w:rFonts w:ascii="arial" w:hAnsi="arial"/>
        </w:rPr>
      </w:pPr>
      <w:r>
        <w:rPr>
          <w:shd w:fill="auto" w:val="clear"/>
        </w:rPr>
      </w:r>
      <w:r>
        <w:br w:type="page"/>
      </w:r>
    </w:p>
    <w:p>
      <w:pPr>
        <w:pStyle w:val="VorformatierterText"/>
        <w:suppressAutoHyphens w:val="false"/>
        <w:bidi w:val="0"/>
        <w:jc w:val="left"/>
        <w:rPr>
          <w:highlight w:val="none"/>
          <w:shd w:fill="auto" w:val="clear"/>
        </w:rPr>
      </w:pPr>
      <w:r>
        <w:rPr>
          <w:rFonts w:ascii="arial" w:hAnsi="arial"/>
          <w:shd w:fill="auto" w:val="clear"/>
        </w:rPr>
        <w:t xml:space="preserve">Variante </w:t>
      </w:r>
      <w:r>
        <w:rPr>
          <w:rFonts w:ascii="arial" w:hAnsi="arial"/>
          <w:shd w:fill="auto" w:val="clear"/>
        </w:rPr>
        <w:t xml:space="preserve">2 / Beispiel </w:t>
      </w:r>
      <w:r>
        <w:rPr>
          <w:rFonts w:ascii="arial" w:hAnsi="arial"/>
          <w:shd w:fill="auto" w:val="clear"/>
        </w:rPr>
        <w:t>C</w:t>
      </w:r>
    </w:p>
    <w:p>
      <w:pPr>
        <w:pStyle w:val="VorformatierterText"/>
        <w:suppressAutoHyphens w:val="false"/>
        <w:bidi w:val="0"/>
        <w:jc w:val="left"/>
        <w:rPr>
          <w:highlight w:val="none"/>
          <w:shd w:fill="auto" w:val="clear"/>
        </w:rPr>
      </w:pPr>
      <w:r>
        <w:rPr>
          <w:shd w:fill="auto" w:val="clear"/>
        </w:rPr>
        <w:drawing>
          <wp:anchor behindDoc="0" distT="0" distB="0" distL="0" distR="0" simplePos="0" locked="0" layoutInCell="0" allowOverlap="1" relativeHeight="10">
            <wp:simplePos x="0" y="0"/>
            <wp:positionH relativeFrom="column">
              <wp:posOffset>0</wp:posOffset>
            </wp:positionH>
            <wp:positionV relativeFrom="paragraph">
              <wp:posOffset>129540</wp:posOffset>
            </wp:positionV>
            <wp:extent cx="6120130" cy="1362710"/>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8"/>
                    <a:stretch>
                      <a:fillRect/>
                    </a:stretch>
                  </pic:blipFill>
                  <pic:spPr bwMode="auto">
                    <a:xfrm>
                      <a:off x="0" y="0"/>
                      <a:ext cx="6120130" cy="1362710"/>
                    </a:xfrm>
                    <a:prstGeom prst="rect">
                      <a:avLst/>
                    </a:prstGeom>
                  </pic:spPr>
                </pic:pic>
              </a:graphicData>
            </a:graphic>
          </wp:anchor>
        </w:drawing>
      </w:r>
    </w:p>
    <w:p>
      <w:pPr>
        <w:pStyle w:val="VorformatierterText"/>
        <w:suppressAutoHyphens w:val="false"/>
        <w:bidi w:val="0"/>
        <w:jc w:val="left"/>
        <w:rPr>
          <w:highlight w:val="none"/>
          <w:shd w:fill="auto" w:val="clear"/>
        </w:rPr>
      </w:pPr>
      <w:r>
        <w:rPr>
          <w:rFonts w:ascii="arial" w:hAnsi="arial"/>
          <w:shd w:fill="auto" w:val="clear"/>
        </w:rPr>
        <w:t xml:space="preserve">In der Energieanwendung ist dem RE </w:t>
      </w:r>
      <w:r>
        <w:rPr>
          <w:rFonts w:ascii="arial" w:hAnsi="arial"/>
          <w:shd w:fill="auto" w:val="clear"/>
        </w:rPr>
        <w:t>0822L</w:t>
      </w:r>
      <w:r>
        <w:rPr>
          <w:rFonts w:ascii="arial" w:hAnsi="arial"/>
          <w:shd w:fill="auto" w:val="clear"/>
        </w:rPr>
        <w:t xml:space="preserve"> die </w:t>
      </w:r>
      <w:r>
        <w:rPr>
          <w:rFonts w:ascii="arial" w:hAnsi="arial"/>
          <w:shd w:fill="auto" w:val="clear"/>
        </w:rPr>
        <w:t>D</w:t>
      </w:r>
      <w:r>
        <w:rPr>
          <w:rFonts w:ascii="arial" w:hAnsi="arial"/>
          <w:shd w:fill="auto" w:val="clear"/>
        </w:rPr>
        <w:t xml:space="preserve">ienststelle </w:t>
      </w:r>
      <w:r>
        <w:rPr>
          <w:rFonts w:ascii="arial" w:hAnsi="arial"/>
          <w:shd w:fill="auto" w:val="clear"/>
        </w:rPr>
        <w:t>0822L</w:t>
      </w:r>
      <w:r>
        <w:rPr>
          <w:rFonts w:ascii="arial" w:hAnsi="arial"/>
          <w:shd w:fill="auto" w:val="clear"/>
        </w:rPr>
        <w:t xml:space="preserve"> zugeordnet </w:t>
      </w:r>
      <w:r>
        <w:rPr>
          <w:rFonts w:ascii="arial" w:hAnsi="arial"/>
          <w:shd w:fill="auto" w:val="clear"/>
        </w:rPr>
        <w:t>(die RE-Nr und die Dienststellen-Kennung in EMIS sind oft identisch, aber nicht immer ..).</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Die Dienststelle 0822L ist in EMIS aber nicht bekannt (nicht im Katalog enthalten).</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 xml:space="preserve">Daher </w:t>
      </w:r>
      <w:r>
        <w:rPr>
          <w:rFonts w:ascii="arial" w:hAnsi="arial"/>
          <w:shd w:fill="auto" w:val="clear"/>
        </w:rPr>
        <w:t>werden</w:t>
      </w:r>
      <w:r>
        <w:rPr>
          <w:rFonts w:ascii="arial" w:hAnsi="arial"/>
          <w:shd w:fill="auto" w:val="clear"/>
        </w:rPr>
        <w:t xml:space="preserve"> bei einer Anmeldung mit </w:t>
      </w:r>
      <w:r>
        <w:rPr>
          <w:rFonts w:ascii="arial" w:hAnsi="arial"/>
          <w:shd w:fill="auto" w:val="clear"/>
        </w:rPr>
        <w:t>RE0822L</w:t>
      </w:r>
      <w:r>
        <w:rPr>
          <w:rFonts w:ascii="arial" w:hAnsi="arial"/>
          <w:shd w:fill="auto" w:val="clear"/>
        </w:rPr>
        <w:t xml:space="preserve"> </w:t>
      </w:r>
      <w:r>
        <w:rPr>
          <w:rFonts w:ascii="arial" w:hAnsi="arial"/>
          <w:shd w:fill="auto" w:val="clear"/>
        </w:rPr>
        <w:t>nur die Liegenschaften gemäß Variante 1 bzw, 3 angezeigt.</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rFonts w:ascii="arial" w:hAnsi="arial"/>
        </w:rPr>
      </w:pPr>
      <w:r>
        <w:rPr>
          <w:shd w:fill="auto" w:val="clea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120130" cy="2459355"/>
            <wp:effectExtent l="0" t="0" r="0" b="0"/>
            <wp:wrapTopAndBottom/>
            <wp:docPr id="8"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0" descr=""/>
                    <pic:cNvPicPr>
                      <a:picLocks noChangeAspect="1" noChangeArrowheads="1"/>
                    </pic:cNvPicPr>
                  </pic:nvPicPr>
                  <pic:blipFill>
                    <a:blip r:embed="rId9"/>
                    <a:stretch>
                      <a:fillRect/>
                    </a:stretch>
                  </pic:blipFill>
                  <pic:spPr bwMode="auto">
                    <a:xfrm>
                      <a:off x="0" y="0"/>
                      <a:ext cx="6120130" cy="2459355"/>
                    </a:xfrm>
                    <a:prstGeom prst="rect">
                      <a:avLst/>
                    </a:prstGeom>
                  </pic:spPr>
                </pic:pic>
              </a:graphicData>
            </a:graphic>
          </wp:anchor>
        </w:drawing>
      </w:r>
      <w:r>
        <w:br w:type="page"/>
      </w:r>
    </w:p>
    <w:p>
      <w:pPr>
        <w:pStyle w:val="VorformatierterText"/>
        <w:suppressAutoHyphens w:val="false"/>
        <w:bidi w:val="0"/>
        <w:jc w:val="left"/>
        <w:rPr>
          <w:highlight w:val="none"/>
          <w:shd w:fill="auto" w:val="clear"/>
        </w:rPr>
      </w:pPr>
      <w:r>
        <w:rPr>
          <w:rFonts w:ascii="arial" w:hAnsi="arial"/>
          <w:shd w:fill="auto" w:val="clear"/>
        </w:rPr>
        <w:t xml:space="preserve">Variante </w:t>
      </w:r>
      <w:r>
        <w:rPr>
          <w:rFonts w:ascii="arial" w:hAnsi="arial"/>
          <w:shd w:fill="auto" w:val="clear"/>
        </w:rPr>
        <w:t>3</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rFonts w:ascii="arial" w:hAnsi="arial"/>
        </w:rPr>
      </w:pPr>
      <w:r>
        <w:rPr>
          <w:shd w:fill="auto" w:val="clea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3119755"/>
            <wp:effectExtent l="0" t="0" r="0" b="0"/>
            <wp:wrapTopAndBottom/>
            <wp:docPr id="9"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3" descr=""/>
                    <pic:cNvPicPr>
                      <a:picLocks noChangeAspect="1" noChangeArrowheads="1"/>
                    </pic:cNvPicPr>
                  </pic:nvPicPr>
                  <pic:blipFill>
                    <a:blip r:embed="rId10"/>
                    <a:stretch>
                      <a:fillRect/>
                    </a:stretch>
                  </pic:blipFill>
                  <pic:spPr bwMode="auto">
                    <a:xfrm>
                      <a:off x="0" y="0"/>
                      <a:ext cx="6120130" cy="3119755"/>
                    </a:xfrm>
                    <a:prstGeom prst="rect">
                      <a:avLst/>
                    </a:prstGeom>
                  </pic:spPr>
                </pic:pic>
              </a:graphicData>
            </a:graphic>
          </wp:anchor>
        </w:drawing>
      </w:r>
    </w:p>
    <w:p>
      <w:pPr>
        <w:pStyle w:val="VorformatierterText"/>
        <w:suppressAutoHyphens w:val="false"/>
        <w:bidi w:val="0"/>
        <w:jc w:val="left"/>
        <w:rPr>
          <w:highlight w:val="none"/>
          <w:shd w:fill="auto" w:val="clear"/>
        </w:rPr>
      </w:pPr>
      <w:r>
        <w:rPr>
          <w:rFonts w:ascii="arial" w:hAnsi="arial"/>
          <w:shd w:fill="auto" w:val="clear"/>
        </w:rPr>
        <w:t xml:space="preserve">In der Energieanwendung ist bei Abnahmestelle SN2718 keine Liegenschaft hinterlegt (bzw. zwar eine „Verwaltungsnummer“, aber </w:t>
      </w:r>
      <w:r>
        <w:rPr>
          <w:rFonts w:ascii="arial" w:hAnsi="arial"/>
          <w:u w:val="single"/>
          <w:shd w:fill="auto" w:val="clear"/>
        </w:rPr>
        <w:t>keine</w:t>
      </w:r>
      <w:r>
        <w:rPr>
          <w:rFonts w:ascii="arial" w:hAnsi="arial"/>
          <w:shd w:fill="auto" w:val="clear"/>
        </w:rPr>
        <w:t xml:space="preserve"> Messstelle). RE ist 08051, AG ist 8080. </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highlight w:val="none"/>
          <w:shd w:fill="auto" w:val="clear"/>
        </w:rPr>
      </w:pPr>
      <w:r>
        <w:rPr>
          <w:rFonts w:ascii="arial" w:hAnsi="arial"/>
          <w:shd w:fill="auto" w:val="clear"/>
        </w:rPr>
        <w:t>Zur Abnahmestellen sollen Zählerstände erfasst werden. Daher wird bei einer Anmeldung mit RE08051 oder AG8080 die fiktive Liegenschaft AG808-SN2718 (bzw. RE08051-SN2718) angezeigt, mit genau dieser einen Abnahmestelle (als „Messstelle“):</w:t>
      </w:r>
    </w:p>
    <w:p>
      <w:pPr>
        <w:pStyle w:val="VorformatierterText"/>
        <w:suppressAutoHyphens w:val="false"/>
        <w:bidi w:val="0"/>
        <w:jc w:val="left"/>
        <w:rPr>
          <w:rFonts w:ascii="arial" w:hAnsi="arial"/>
        </w:rPr>
      </w:pPr>
      <w:r>
        <w:rPr>
          <w:shd w:fill="auto" w:val="clear"/>
        </w:rPr>
      </w:r>
    </w:p>
    <w:p>
      <w:pPr>
        <w:pStyle w:val="VorformatierterText"/>
        <w:suppressAutoHyphens w:val="false"/>
        <w:bidi w:val="0"/>
        <w:jc w:val="left"/>
        <w:rPr>
          <w:rFonts w:ascii="arial" w:hAnsi="arial"/>
        </w:rPr>
      </w:pPr>
      <w:r>
        <w:rPr>
          <w:shd w:fill="auto" w:val="clea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2458720"/>
            <wp:effectExtent l="0" t="0" r="0" b="0"/>
            <wp:wrapSquare wrapText="largest"/>
            <wp:docPr id="10"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4" descr=""/>
                    <pic:cNvPicPr>
                      <a:picLocks noChangeAspect="1" noChangeArrowheads="1"/>
                    </pic:cNvPicPr>
                  </pic:nvPicPr>
                  <pic:blipFill>
                    <a:blip r:embed="rId11"/>
                    <a:stretch>
                      <a:fillRect/>
                    </a:stretch>
                  </pic:blipFill>
                  <pic:spPr bwMode="auto">
                    <a:xfrm>
                      <a:off x="0" y="0"/>
                      <a:ext cx="6120130" cy="2458720"/>
                    </a:xfrm>
                    <a:prstGeom prst="rect">
                      <a:avLst/>
                    </a:prstGeom>
                  </pic:spPr>
                </pic:pic>
              </a:graphicData>
            </a:graphic>
          </wp:anchor>
        </w:drawing>
      </w:r>
    </w:p>
    <w:p>
      <w:pPr>
        <w:pStyle w:val="VorformatierterText"/>
        <w:suppressAutoHyphens w:val="false"/>
        <w:bidi w:val="0"/>
        <w:jc w:val="left"/>
        <w:rPr>
          <w:rFonts w:ascii="arial" w:hAnsi="arial"/>
        </w:rPr>
      </w:pPr>
      <w:r>
        <w:rPr>
          <w:shd w:fill="auto" w:val="clea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Liberation Mono">
    <w:altName w:val="Courier New"/>
    <w:charset w:val="01"/>
    <w:family w:val="roman"/>
    <w:pitch w:val="variable"/>
  </w:font>
  <w:font w:name="arial">
    <w:charset w:val="01"/>
    <w:family w:val="roman"/>
    <w:pitch w:val="variable"/>
  </w:font>
  <w:font w:name="Arial">
    <w:charset w:val="01"/>
    <w:family w:val="roman"/>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6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Cs w:val="24"/>
        <w:lang w:val="de-DE"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Liberation Serif" w:hAnsi="Liberation Serif" w:eastAsia="Noto Serif CJK SC" w:cs="Lohit Devanagari"/>
      <w:color w:val="auto"/>
      <w:kern w:val="0"/>
      <w:sz w:val="24"/>
      <w:szCs w:val="24"/>
      <w:lang w:val="de-DE" w:eastAsia="zh-CN" w:bidi="hi-IN"/>
    </w:rPr>
  </w:style>
  <w:style w:type="paragraph" w:styleId="Berschrift3">
    <w:name w:val="Heading 3"/>
    <w:basedOn w:val="Berschrift"/>
    <w:next w:val="Textkrper"/>
    <w:qFormat/>
    <w:pPr>
      <w:numPr>
        <w:ilvl w:val="2"/>
        <w:numId w:val="1"/>
      </w:numPr>
      <w:spacing w:before="140" w:after="120"/>
      <w:outlineLvl w:val="2"/>
    </w:pPr>
    <w:rPr>
      <w:b/>
      <w:bCs/>
      <w:sz w:val="28"/>
      <w:szCs w:val="28"/>
    </w:rPr>
  </w:style>
  <w:style w:type="paragraph" w:styleId="Berschrift5">
    <w:name w:val="Heading 5"/>
    <w:basedOn w:val="Berschrift"/>
    <w:next w:val="Textkrper"/>
    <w:qFormat/>
    <w:pPr>
      <w:numPr>
        <w:ilvl w:val="4"/>
        <w:numId w:val="1"/>
      </w:numPr>
      <w:spacing w:before="120" w:after="60"/>
      <w:outlineLvl w:val="4"/>
    </w:pPr>
    <w:rPr>
      <w:b/>
      <w:bCs/>
      <w:sz w:val="24"/>
      <w:szCs w:val="24"/>
    </w:rPr>
  </w:style>
  <w:style w:type="paragraph" w:styleId="Berschrift6">
    <w:name w:val="Heading 6"/>
    <w:basedOn w:val="Berschrift"/>
    <w:next w:val="Textkrper"/>
    <w:qFormat/>
    <w:pPr>
      <w:numPr>
        <w:ilvl w:val="5"/>
        <w:numId w:val="1"/>
      </w:numPr>
      <w:spacing w:before="60" w:after="60"/>
      <w:outlineLvl w:val="5"/>
    </w:pPr>
    <w:rPr>
      <w:b/>
      <w:bCs/>
      <w:i/>
      <w:iCs/>
      <w:sz w:val="24"/>
      <w:szCs w:val="24"/>
    </w:rPr>
  </w:style>
  <w:style w:type="paragraph" w:styleId="Berschrift7">
    <w:name w:val="Heading 7"/>
    <w:basedOn w:val="Berschrift"/>
    <w:next w:val="Textkrper"/>
    <w:qFormat/>
    <w:pPr>
      <w:numPr>
        <w:ilvl w:val="6"/>
        <w:numId w:val="1"/>
      </w:numPr>
      <w:spacing w:before="60" w:after="60"/>
      <w:outlineLvl w:val="6"/>
    </w:pPr>
    <w:rPr>
      <w:b/>
      <w:bCs/>
      <w:sz w:val="22"/>
      <w:szCs w:val="22"/>
    </w:rPr>
  </w:style>
  <w:style w:type="paragraph" w:styleId="Berschrift9">
    <w:name w:val="Heading 9"/>
    <w:basedOn w:val="Berschrift"/>
    <w:next w:val="Textkrper"/>
    <w:qFormat/>
    <w:pPr>
      <w:numPr>
        <w:ilvl w:val="8"/>
        <w:numId w:val="1"/>
      </w:numPr>
      <w:spacing w:before="60" w:after="60"/>
      <w:outlineLvl w:val="8"/>
    </w:pPr>
    <w:rPr>
      <w:b/>
      <w:bCs/>
      <w:sz w:val="21"/>
      <w:szCs w:val="21"/>
    </w:rPr>
  </w:style>
  <w:style w:type="character" w:styleId="Nummerierungszeichen">
    <w:name w:val="Nummerierungszeichen"/>
    <w:qFormat/>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VorformatierterText">
    <w:name w:val="Vorformatierter Text"/>
    <w:basedOn w:val="Normal"/>
    <w:qFormat/>
    <w:pPr>
      <w:spacing w:before="0" w:after="0"/>
    </w:pPr>
    <w:rPr>
      <w:rFonts w:ascii="Liberation Mono" w:hAnsi="Liberation Mono" w:eastAsia="Noto Sans Mono CJK SC" w:cs="Liberation Mono"/>
      <w:sz w:val="20"/>
      <w:szCs w:val="20"/>
    </w:rPr>
  </w:style>
  <w:style w:type="paragraph" w:styleId="Berschrift10">
    <w:name w:val="Überschrift 10"/>
    <w:basedOn w:val="Berschrift"/>
    <w:next w:val="Textkrper"/>
    <w:qFormat/>
    <w:pPr>
      <w:spacing w:before="60" w:after="60"/>
      <w:outlineLvl w:val="8"/>
    </w:pPr>
    <w:rPr>
      <w:b/>
      <w:bCs/>
      <w:sz w:val="21"/>
      <w:szCs w:val="21"/>
    </w:rPr>
  </w:style>
  <w:style w:type="numbering" w:styleId="Nummerierungabc">
    <w:name w:val="Nummerierung abc"/>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9994</TotalTime>
  <Application>LibreOffice/7.3.7.2$Linux_X86_64 LibreOffice_project/30$Build-2</Application>
  <AppVersion>15.0000</AppVersion>
  <Pages>6</Pages>
  <Words>670</Words>
  <Characters>4204</Characters>
  <CharactersWithSpaces>4828</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Volker Deringer</cp:lastModifiedBy>
  <dcterms:modified xsi:type="dcterms:W3CDTF">2025-12-17T14:29:32Z</dcterms:modified>
  <cp:revision>106</cp:revision>
  <dc:subject/>
  <dc:title/>
</cp:coreProperties>
</file>

<file path=docProps/custom.xml><?xml version="1.0" encoding="utf-8"?>
<Properties xmlns="http://schemas.openxmlformats.org/officeDocument/2006/custom-properties" xmlns:vt="http://schemas.openxmlformats.org/officeDocument/2006/docPropsVTypes"/>
</file>